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2F" w:rsidRDefault="00404F2F" w:rsidP="00404F2F">
      <w:pPr>
        <w:pStyle w:val="Sinespaciado"/>
        <w:jc w:val="center"/>
        <w:rPr>
          <w:b/>
          <w:color w:val="323E4F" w:themeColor="text2" w:themeShade="BF"/>
          <w:sz w:val="52"/>
          <w:szCs w:val="52"/>
          <w:lang w:val="es-ES"/>
        </w:rPr>
      </w:pPr>
      <w:r w:rsidRPr="00F033BA">
        <w:rPr>
          <w:noProof/>
          <w:lang w:val="es-ES" w:eastAsia="es-ES"/>
        </w:rPr>
        <w:drawing>
          <wp:inline distT="0" distB="0" distL="0" distR="0" wp14:anchorId="41CB1D2B" wp14:editId="282ACCAB">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Pr>
          <w:b/>
          <w:color w:val="323E4F" w:themeColor="text2" w:themeShade="BF"/>
          <w:sz w:val="52"/>
          <w:szCs w:val="52"/>
          <w:lang w:val="es-ES"/>
        </w:rPr>
        <w:t xml:space="preserve"> </w:t>
      </w:r>
    </w:p>
    <w:p w:rsidR="00404F2F" w:rsidRDefault="00404F2F" w:rsidP="00404F2F">
      <w:pPr>
        <w:pStyle w:val="Sinespaciado"/>
        <w:jc w:val="center"/>
        <w:rPr>
          <w:b/>
          <w:color w:val="323E4F" w:themeColor="text2" w:themeShade="BF"/>
          <w:sz w:val="52"/>
          <w:szCs w:val="52"/>
          <w:lang w:val="es-ES"/>
        </w:rPr>
      </w:pPr>
    </w:p>
    <w:p w:rsidR="00404F2F" w:rsidRDefault="00404F2F" w:rsidP="00404F2F">
      <w:pPr>
        <w:pStyle w:val="Sinespaciado"/>
        <w:jc w:val="center"/>
        <w:rPr>
          <w:b/>
          <w:color w:val="323E4F" w:themeColor="text2" w:themeShade="BF"/>
          <w:sz w:val="52"/>
          <w:szCs w:val="52"/>
          <w:lang w:val="es-ES"/>
        </w:rPr>
      </w:pPr>
      <w:r>
        <w:rPr>
          <w:b/>
          <w:color w:val="323E4F" w:themeColor="text2" w:themeShade="BF"/>
          <w:sz w:val="52"/>
          <w:szCs w:val="52"/>
          <w:lang w:val="es-ES"/>
        </w:rPr>
        <w:t>Novedades Ediciones El Mercurio</w:t>
      </w:r>
    </w:p>
    <w:p w:rsidR="00404F2F" w:rsidRDefault="00404F2F" w:rsidP="00404F2F">
      <w:pPr>
        <w:pStyle w:val="Sinespaciado"/>
        <w:jc w:val="center"/>
        <w:rPr>
          <w:b/>
          <w:color w:val="323E4F" w:themeColor="text2" w:themeShade="BF"/>
          <w:sz w:val="52"/>
          <w:szCs w:val="52"/>
          <w:lang w:val="es-ES"/>
        </w:rPr>
      </w:pPr>
      <w:r>
        <w:rPr>
          <w:noProof/>
          <w:lang w:val="es-ES" w:eastAsia="es-ES"/>
        </w:rPr>
        <w:drawing>
          <wp:anchor distT="0" distB="0" distL="114300" distR="114300" simplePos="0" relativeHeight="251660288" behindDoc="1" locked="0" layoutInCell="1" allowOverlap="1" wp14:anchorId="3AB11DF8" wp14:editId="37D783DE">
            <wp:simplePos x="0" y="0"/>
            <wp:positionH relativeFrom="column">
              <wp:posOffset>-249555</wp:posOffset>
            </wp:positionH>
            <wp:positionV relativeFrom="paragraph">
              <wp:posOffset>377190</wp:posOffset>
            </wp:positionV>
            <wp:extent cx="2339340" cy="3420745"/>
            <wp:effectExtent l="0" t="0" r="3810" b="8255"/>
            <wp:wrapSquare wrapText="bothSides"/>
            <wp:docPr id="1" name="Imagen 1" descr="LAS AFP EN 100 PREGU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AFP EN 100 PREGUNT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340" cy="342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F2F" w:rsidRPr="00404F2F" w:rsidRDefault="00404F2F" w:rsidP="00404F2F">
      <w:pPr>
        <w:pStyle w:val="Sinespaciado"/>
        <w:rPr>
          <w:rFonts w:cstheme="minorHAnsi"/>
          <w:b/>
          <w:sz w:val="24"/>
          <w:szCs w:val="24"/>
          <w:lang w:val="es-ES"/>
        </w:rPr>
      </w:pPr>
      <w:r w:rsidRPr="00404F2F">
        <w:rPr>
          <w:rFonts w:cstheme="minorHAnsi"/>
          <w:b/>
          <w:sz w:val="24"/>
          <w:szCs w:val="24"/>
          <w:lang w:val="es-ES"/>
        </w:rPr>
        <w:t xml:space="preserve">Las </w:t>
      </w:r>
      <w:r>
        <w:rPr>
          <w:rFonts w:cstheme="minorHAnsi"/>
          <w:b/>
          <w:sz w:val="24"/>
          <w:szCs w:val="24"/>
          <w:lang w:val="es-ES"/>
        </w:rPr>
        <w:t>AFP en 100 preguntas</w:t>
      </w:r>
    </w:p>
    <w:p w:rsidR="00404F2F" w:rsidRPr="00404F2F" w:rsidRDefault="00404F2F" w:rsidP="00404F2F">
      <w:pPr>
        <w:pStyle w:val="Sinespaciado"/>
        <w:rPr>
          <w:rFonts w:cstheme="minorHAnsi"/>
          <w:sz w:val="24"/>
          <w:szCs w:val="24"/>
          <w:lang w:val="es-ES"/>
        </w:rPr>
      </w:pPr>
      <w:r w:rsidRPr="00404F2F">
        <w:rPr>
          <w:rFonts w:cstheme="minorHAnsi"/>
          <w:sz w:val="24"/>
          <w:szCs w:val="24"/>
          <w:lang w:val="es-ES"/>
        </w:rPr>
        <w:t xml:space="preserve">Autor: </w:t>
      </w:r>
      <w:r>
        <w:rPr>
          <w:rFonts w:eastAsia="HGSHeiseiKakugothictaiW3" w:cs="Arial"/>
          <w:sz w:val="24"/>
          <w:szCs w:val="24"/>
        </w:rPr>
        <w:t xml:space="preserve">Marisa </w:t>
      </w:r>
      <w:proofErr w:type="spellStart"/>
      <w:r>
        <w:rPr>
          <w:rFonts w:eastAsia="HGSHeiseiKakugothictaiW3" w:cs="Arial"/>
          <w:sz w:val="24"/>
          <w:szCs w:val="24"/>
        </w:rPr>
        <w:t>Cominetti</w:t>
      </w:r>
      <w:proofErr w:type="spellEnd"/>
      <w:r>
        <w:rPr>
          <w:rFonts w:eastAsia="HGSHeiseiKakugothictaiW3" w:cs="Arial"/>
          <w:sz w:val="24"/>
          <w:szCs w:val="24"/>
        </w:rPr>
        <w:t xml:space="preserve"> y Manuel </w:t>
      </w:r>
      <w:r w:rsidRPr="00404F2F">
        <w:rPr>
          <w:rFonts w:eastAsia="HGSHeiseiKakugothictaiW3" w:cs="Arial"/>
          <w:sz w:val="24"/>
          <w:szCs w:val="24"/>
        </w:rPr>
        <w:t>Fernández</w:t>
      </w:r>
    </w:p>
    <w:p w:rsidR="00404F2F" w:rsidRPr="00404F2F" w:rsidRDefault="00404F2F" w:rsidP="00404F2F">
      <w:pPr>
        <w:pStyle w:val="Sinespaciado"/>
        <w:rPr>
          <w:rFonts w:cstheme="minorHAnsi"/>
          <w:sz w:val="24"/>
          <w:szCs w:val="24"/>
          <w:lang w:val="es-ES"/>
        </w:rPr>
      </w:pPr>
      <w:r w:rsidRPr="00404F2F">
        <w:rPr>
          <w:rFonts w:cstheme="minorHAnsi"/>
          <w:sz w:val="24"/>
          <w:szCs w:val="24"/>
          <w:lang w:val="es-ES"/>
        </w:rPr>
        <w:t>Páginas: 212</w:t>
      </w:r>
    </w:p>
    <w:p w:rsidR="00404F2F" w:rsidRPr="00404F2F" w:rsidRDefault="00404F2F" w:rsidP="00404F2F">
      <w:pPr>
        <w:tabs>
          <w:tab w:val="left" w:pos="2160"/>
        </w:tabs>
        <w:spacing w:after="0" w:line="240" w:lineRule="auto"/>
        <w:rPr>
          <w:rFonts w:eastAsia="HGSHeiseiKakugothictaiW3" w:cs="Arial"/>
          <w:sz w:val="24"/>
          <w:szCs w:val="24"/>
        </w:rPr>
      </w:pPr>
      <w:r w:rsidRPr="00404F2F">
        <w:rPr>
          <w:rFonts w:cstheme="minorHAnsi"/>
          <w:sz w:val="24"/>
          <w:szCs w:val="24"/>
          <w:lang w:val="es-ES"/>
        </w:rPr>
        <w:t xml:space="preserve">Formato: </w:t>
      </w:r>
      <w:r w:rsidRPr="00404F2F">
        <w:rPr>
          <w:rFonts w:eastAsia="HGSHeiseiKakugothictaiW3" w:cs="Arial"/>
          <w:sz w:val="24"/>
          <w:szCs w:val="24"/>
        </w:rPr>
        <w:t>15 x 24 cm</w:t>
      </w:r>
    </w:p>
    <w:p w:rsidR="00404F2F" w:rsidRPr="00404F2F" w:rsidRDefault="00404F2F" w:rsidP="00404F2F">
      <w:pPr>
        <w:pStyle w:val="Sinespaciado"/>
        <w:rPr>
          <w:rFonts w:cstheme="minorHAnsi"/>
          <w:sz w:val="24"/>
          <w:szCs w:val="24"/>
          <w:lang w:val="es-ES"/>
        </w:rPr>
      </w:pPr>
      <w:r w:rsidRPr="00404F2F">
        <w:rPr>
          <w:rFonts w:cstheme="minorHAnsi"/>
          <w:sz w:val="24"/>
          <w:szCs w:val="24"/>
          <w:lang w:val="es-ES"/>
        </w:rPr>
        <w:t xml:space="preserve">Cód. interno: </w:t>
      </w:r>
      <w:r>
        <w:rPr>
          <w:rFonts w:cstheme="minorHAnsi"/>
          <w:sz w:val="24"/>
          <w:szCs w:val="24"/>
          <w:lang w:val="es-ES"/>
        </w:rPr>
        <w:t>60067</w:t>
      </w:r>
    </w:p>
    <w:p w:rsidR="00404F2F" w:rsidRPr="00404F2F" w:rsidRDefault="00404F2F" w:rsidP="00404F2F">
      <w:pPr>
        <w:pStyle w:val="Sinespaciado"/>
        <w:rPr>
          <w:rFonts w:cs="Garamond"/>
          <w:sz w:val="24"/>
          <w:szCs w:val="24"/>
          <w:lang w:eastAsia="es-CL"/>
        </w:rPr>
      </w:pPr>
      <w:r w:rsidRPr="00404F2F">
        <w:rPr>
          <w:rFonts w:cstheme="minorHAnsi"/>
          <w:sz w:val="24"/>
          <w:szCs w:val="24"/>
          <w:lang w:val="es-ES"/>
        </w:rPr>
        <w:t xml:space="preserve">ISBN: </w:t>
      </w:r>
      <w:r w:rsidRPr="00404F2F">
        <w:rPr>
          <w:rFonts w:cs="Garamond"/>
          <w:sz w:val="24"/>
          <w:szCs w:val="24"/>
          <w:lang w:eastAsia="es-CL"/>
        </w:rPr>
        <w:t>978-956-9986-37-6</w:t>
      </w:r>
    </w:p>
    <w:p w:rsidR="00404F2F" w:rsidRPr="00404F2F" w:rsidRDefault="00404F2F" w:rsidP="00404F2F">
      <w:pPr>
        <w:pStyle w:val="Sinespaciado"/>
        <w:rPr>
          <w:rFonts w:cstheme="minorHAnsi"/>
          <w:sz w:val="24"/>
          <w:szCs w:val="24"/>
          <w:lang w:val="es-ES"/>
        </w:rPr>
      </w:pPr>
      <w:r w:rsidRPr="00404F2F">
        <w:rPr>
          <w:rFonts w:cstheme="minorHAnsi"/>
          <w:sz w:val="24"/>
          <w:szCs w:val="24"/>
          <w:lang w:val="es-ES"/>
        </w:rPr>
        <w:t xml:space="preserve">Precio: </w:t>
      </w:r>
      <w:r w:rsidRPr="00404F2F">
        <w:rPr>
          <w:rFonts w:eastAsia="HGSHeiseiKakugothictaiW3" w:cs="Arial"/>
          <w:sz w:val="24"/>
          <w:szCs w:val="24"/>
        </w:rPr>
        <w:t>$14.900 + IVA</w:t>
      </w: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Default="00404F2F" w:rsidP="00404F2F">
      <w:pPr>
        <w:pStyle w:val="Sinespaciado"/>
        <w:rPr>
          <w:rFonts w:cstheme="minorHAnsi"/>
          <w:sz w:val="24"/>
          <w:szCs w:val="24"/>
          <w:lang w:val="es-ES"/>
        </w:rPr>
      </w:pPr>
    </w:p>
    <w:p w:rsidR="00404F2F" w:rsidRPr="00D11D0D" w:rsidRDefault="00404F2F" w:rsidP="00404F2F">
      <w:pPr>
        <w:pStyle w:val="Sinespaciado"/>
        <w:jc w:val="both"/>
      </w:pPr>
    </w:p>
    <w:p w:rsidR="00404F2F" w:rsidRDefault="00404F2F" w:rsidP="00404F2F">
      <w:pPr>
        <w:jc w:val="both"/>
        <w:rPr>
          <w:lang w:val="es-MX"/>
        </w:rPr>
      </w:pPr>
    </w:p>
    <w:p w:rsidR="00381591" w:rsidRDefault="00381591" w:rsidP="00404F2F">
      <w:pPr>
        <w:jc w:val="both"/>
        <w:rPr>
          <w:lang w:val="es-MX"/>
        </w:rPr>
      </w:pPr>
      <w:bookmarkStart w:id="0" w:name="_GoBack"/>
      <w:bookmarkEnd w:id="0"/>
    </w:p>
    <w:p w:rsidR="00404F2F" w:rsidRPr="00404F2F" w:rsidRDefault="00404F2F" w:rsidP="00404F2F">
      <w:pPr>
        <w:spacing w:after="0" w:line="240" w:lineRule="auto"/>
        <w:jc w:val="both"/>
        <w:rPr>
          <w:b/>
          <w:color w:val="000000"/>
          <w:sz w:val="24"/>
          <w:szCs w:val="24"/>
          <w:lang w:eastAsia="es-CL"/>
        </w:rPr>
      </w:pPr>
      <w:r w:rsidRPr="00404F2F">
        <w:rPr>
          <w:rFonts w:eastAsia="Times New Roman"/>
          <w:b/>
          <w:bCs/>
          <w:sz w:val="24"/>
          <w:szCs w:val="24"/>
        </w:rPr>
        <w:t xml:space="preserve">Una guía práctica </w:t>
      </w:r>
      <w:r w:rsidRPr="00404F2F">
        <w:rPr>
          <w:b/>
          <w:color w:val="000000"/>
          <w:sz w:val="24"/>
          <w:szCs w:val="24"/>
          <w:lang w:eastAsia="es-CL"/>
        </w:rPr>
        <w:t>dirigida a todo lector, joven o adulto, que quiera hacer rendir su dinero y mejorar sus inversiones. Descubra, en forma fácil y amena, cómo aplicar los términos financieros y económicos que le permitan disfrutar de unos verdaderos “años dorados”.</w:t>
      </w:r>
    </w:p>
    <w:p w:rsidR="00404F2F" w:rsidRPr="00404F2F" w:rsidRDefault="00404F2F" w:rsidP="00404F2F">
      <w:pPr>
        <w:spacing w:after="0" w:line="240" w:lineRule="auto"/>
        <w:ind w:left="5664"/>
        <w:rPr>
          <w:b/>
          <w:color w:val="000000"/>
          <w:sz w:val="24"/>
          <w:szCs w:val="24"/>
          <w:lang w:eastAsia="es-CL"/>
        </w:rPr>
      </w:pPr>
    </w:p>
    <w:p w:rsidR="00404F2F" w:rsidRPr="00404F2F" w:rsidRDefault="00404F2F" w:rsidP="00404F2F">
      <w:pPr>
        <w:shd w:val="clear" w:color="auto" w:fill="FFFFFF"/>
        <w:spacing w:after="0" w:line="240" w:lineRule="auto"/>
        <w:rPr>
          <w:rFonts w:eastAsia="Times New Roman"/>
          <w:bCs/>
          <w:sz w:val="24"/>
          <w:szCs w:val="24"/>
        </w:rPr>
      </w:pPr>
      <w:r w:rsidRPr="00404F2F">
        <w:rPr>
          <w:rFonts w:eastAsia="Times New Roman"/>
          <w:bCs/>
          <w:sz w:val="24"/>
          <w:szCs w:val="24"/>
        </w:rPr>
        <w:t xml:space="preserve">Entender a cabalidad el sistema de pensiones chileno es una labor bastante difícil para el ciudadano común, ya que está rodeado de una serie de complejidades, mitos o nebulosas de las que muy pocos tienen claridad; y que aquí los autores se proponen resolver. </w:t>
      </w:r>
    </w:p>
    <w:p w:rsidR="00404F2F" w:rsidRPr="00404F2F" w:rsidRDefault="00404F2F" w:rsidP="00404F2F">
      <w:pPr>
        <w:shd w:val="clear" w:color="auto" w:fill="FFFFFF"/>
        <w:spacing w:after="0" w:line="240" w:lineRule="auto"/>
        <w:rPr>
          <w:rFonts w:eastAsia="Times New Roman"/>
          <w:bCs/>
          <w:sz w:val="24"/>
          <w:szCs w:val="24"/>
        </w:rPr>
      </w:pPr>
    </w:p>
    <w:p w:rsidR="00404F2F" w:rsidRDefault="00404F2F" w:rsidP="00404F2F">
      <w:pPr>
        <w:shd w:val="clear" w:color="auto" w:fill="FFFFFF"/>
        <w:spacing w:after="0" w:line="240" w:lineRule="auto"/>
        <w:rPr>
          <w:rFonts w:eastAsia="Times New Roman"/>
          <w:bCs/>
          <w:sz w:val="24"/>
          <w:szCs w:val="24"/>
        </w:rPr>
      </w:pPr>
      <w:r w:rsidRPr="00404F2F">
        <w:rPr>
          <w:rFonts w:cs="Arial"/>
          <w:color w:val="000000"/>
          <w:sz w:val="24"/>
          <w:szCs w:val="24"/>
          <w:lang w:eastAsia="es-CL"/>
        </w:rPr>
        <w:t xml:space="preserve">¿Cómo funciona este mecanismo? ¿Cuánta plata mensual de su sueldo va al ahorro previsional? ¿Cuánto cobra de comisión el administrador de sus fondos? ¿Son las APF dueñas del dinero? ¿Qué propone la actual reforma </w:t>
      </w:r>
      <w:r w:rsidRPr="00404F2F">
        <w:rPr>
          <w:rFonts w:eastAsia="Times New Roman"/>
          <w:bCs/>
          <w:sz w:val="24"/>
          <w:szCs w:val="24"/>
        </w:rPr>
        <w:t>al sistema de pensiones</w:t>
      </w:r>
      <w:r w:rsidRPr="00404F2F">
        <w:rPr>
          <w:rFonts w:cs="Arial"/>
          <w:color w:val="000000"/>
          <w:sz w:val="24"/>
          <w:szCs w:val="24"/>
          <w:lang w:eastAsia="es-CL"/>
        </w:rPr>
        <w:t xml:space="preserve">? Son algunas de las inquietudes que podrá descifrar en este libro </w:t>
      </w:r>
      <w:r w:rsidRPr="00404F2F">
        <w:rPr>
          <w:rFonts w:eastAsia="Times New Roman"/>
          <w:bCs/>
          <w:sz w:val="24"/>
          <w:szCs w:val="24"/>
        </w:rPr>
        <w:t>y que le permitirán tomar mejores decisiones para su futuro.</w:t>
      </w:r>
    </w:p>
    <w:p w:rsidR="00381591" w:rsidRPr="00404F2F" w:rsidRDefault="00381591" w:rsidP="00404F2F">
      <w:pPr>
        <w:shd w:val="clear" w:color="auto" w:fill="FFFFFF"/>
        <w:spacing w:after="0" w:line="240" w:lineRule="auto"/>
        <w:rPr>
          <w:rFonts w:eastAsia="Times New Roman"/>
          <w:bCs/>
          <w:sz w:val="24"/>
          <w:szCs w:val="24"/>
        </w:rPr>
      </w:pPr>
    </w:p>
    <w:p w:rsidR="00404F2F" w:rsidRPr="00404F2F" w:rsidRDefault="00404F2F"/>
    <w:sectPr w:rsidR="00404F2F" w:rsidRPr="00404F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2F"/>
    <w:rsid w:val="00381591"/>
    <w:rsid w:val="00404F2F"/>
    <w:rsid w:val="00D67F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A684"/>
  <w15:chartTrackingRefBased/>
  <w15:docId w15:val="{B680C919-9982-4523-8799-3792F7C7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F2F"/>
    <w:pPr>
      <w:spacing w:after="200" w:line="276" w:lineRule="auto"/>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4F2F"/>
    <w:pPr>
      <w:spacing w:after="0" w:line="240" w:lineRule="auto"/>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mktpractica</dc:creator>
  <cp:keywords/>
  <dc:description/>
  <cp:lastModifiedBy>Jimena Carrasco Mellado</cp:lastModifiedBy>
  <cp:revision>2</cp:revision>
  <dcterms:created xsi:type="dcterms:W3CDTF">2019-02-27T14:42:00Z</dcterms:created>
  <dcterms:modified xsi:type="dcterms:W3CDTF">2019-02-28T14:53:00Z</dcterms:modified>
</cp:coreProperties>
</file>